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E91" w:rsidRPr="00B425C7" w:rsidRDefault="00841E91" w:rsidP="00841E91">
      <w:pPr>
        <w:snapToGrid w:val="0"/>
        <w:jc w:val="center"/>
        <w:rPr>
          <w:rFonts w:ascii="Times New Roman" w:eastAsia="標楷體" w:hAnsi="Times New Roman"/>
          <w:bCs/>
          <w:color w:val="000000"/>
          <w:sz w:val="36"/>
          <w:szCs w:val="36"/>
        </w:rPr>
      </w:pPr>
      <w:r w:rsidRPr="00B425C7">
        <w:rPr>
          <w:rFonts w:ascii="Times New Roman" w:eastAsia="標楷體" w:hAnsi="Times New Roman"/>
          <w:bCs/>
          <w:color w:val="000000"/>
          <w:sz w:val="36"/>
          <w:szCs w:val="36"/>
        </w:rPr>
        <w:t>國立屏東科技大學教師升等評分量</w:t>
      </w:r>
      <w:bookmarkStart w:id="0" w:name="_GoBack"/>
      <w:bookmarkEnd w:id="0"/>
      <w:r w:rsidRPr="00B425C7">
        <w:rPr>
          <w:rFonts w:ascii="Times New Roman" w:eastAsia="標楷體" w:hAnsi="Times New Roman"/>
          <w:bCs/>
          <w:color w:val="000000"/>
          <w:sz w:val="36"/>
          <w:szCs w:val="36"/>
        </w:rPr>
        <w:t>表之一</w:t>
      </w:r>
    </w:p>
    <w:p w:rsidR="00841E91" w:rsidRPr="00B425C7" w:rsidRDefault="00841E91" w:rsidP="00BB3B2F">
      <w:pPr>
        <w:snapToGrid w:val="0"/>
        <w:ind w:leftChars="-532" w:left="-13" w:rightChars="-378" w:right="-907" w:hangingChars="351" w:hanging="1264"/>
        <w:jc w:val="center"/>
        <w:rPr>
          <w:rFonts w:ascii="Times New Roman" w:eastAsia="標楷體" w:hAnsi="Times New Roman"/>
          <w:bCs/>
          <w:color w:val="000000"/>
          <w:sz w:val="36"/>
          <w:szCs w:val="36"/>
        </w:rPr>
      </w:pPr>
      <w:r w:rsidRPr="00B425C7">
        <w:rPr>
          <w:rFonts w:ascii="Times New Roman" w:eastAsia="標楷體" w:hAnsi="Times New Roman"/>
          <w:bCs/>
          <w:color w:val="000000"/>
          <w:sz w:val="36"/>
          <w:szCs w:val="36"/>
        </w:rPr>
        <w:t>（</w:t>
      </w:r>
      <w:r w:rsidRPr="00692F4D">
        <w:rPr>
          <w:rFonts w:ascii="Times New Roman" w:eastAsia="標楷體" w:hAnsi="Times New Roman"/>
          <w:bCs/>
          <w:color w:val="000000"/>
          <w:sz w:val="36"/>
          <w:szCs w:val="36"/>
        </w:rPr>
        <w:t>以專門著作、體育成就證明、技術報告、教學報告送審者適用</w:t>
      </w:r>
      <w:r w:rsidRPr="00B425C7">
        <w:rPr>
          <w:rFonts w:ascii="Times New Roman" w:eastAsia="標楷體" w:hAnsi="Times New Roman"/>
          <w:bCs/>
          <w:color w:val="000000"/>
          <w:sz w:val="36"/>
          <w:szCs w:val="36"/>
        </w:rPr>
        <w:t>）</w:t>
      </w:r>
    </w:p>
    <w:p w:rsidR="00841E91" w:rsidRPr="00B425C7" w:rsidRDefault="00841E91" w:rsidP="00841E91">
      <w:pPr>
        <w:snapToGrid w:val="0"/>
        <w:spacing w:line="240" w:lineRule="exact"/>
        <w:jc w:val="right"/>
        <w:rPr>
          <w:rFonts w:ascii="Times New Roman" w:eastAsia="標楷體" w:hAnsi="Times New Roman"/>
          <w:bCs/>
          <w:color w:val="000000"/>
          <w:sz w:val="20"/>
          <w:szCs w:val="20"/>
        </w:rPr>
      </w:pPr>
    </w:p>
    <w:p w:rsidR="00841E91" w:rsidRPr="00B425C7" w:rsidRDefault="00841E91" w:rsidP="00841E91">
      <w:pPr>
        <w:snapToGrid w:val="0"/>
        <w:spacing w:line="240" w:lineRule="exact"/>
        <w:jc w:val="right"/>
        <w:rPr>
          <w:rFonts w:ascii="Times New Roman" w:eastAsia="標楷體" w:hAnsi="Times New Roman"/>
          <w:bCs/>
          <w:color w:val="000000"/>
          <w:sz w:val="20"/>
          <w:szCs w:val="20"/>
        </w:rPr>
      </w:pPr>
    </w:p>
    <w:p w:rsidR="00841E91" w:rsidRPr="00B425C7" w:rsidRDefault="00841E91" w:rsidP="00841E91">
      <w:pPr>
        <w:wordWrap w:val="0"/>
        <w:snapToGrid w:val="0"/>
        <w:spacing w:line="360" w:lineRule="auto"/>
        <w:ind w:right="482"/>
        <w:rPr>
          <w:rFonts w:ascii="Times New Roman" w:eastAsia="標楷體" w:hAnsi="Times New Roman"/>
          <w:bCs/>
          <w:color w:val="000000"/>
          <w:szCs w:val="24"/>
        </w:rPr>
      </w:pPr>
      <w:r w:rsidRPr="00B425C7">
        <w:rPr>
          <w:rFonts w:ascii="Times New Roman" w:eastAsia="標楷體" w:hAnsi="Times New Roman"/>
          <w:bCs/>
          <w:color w:val="000000"/>
          <w:szCs w:val="24"/>
        </w:rPr>
        <w:t>申請升等教師姓名：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 xml:space="preserve">          </w:t>
      </w:r>
      <w:r w:rsidRPr="00B425C7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>任教系所：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 xml:space="preserve">    </w:t>
      </w:r>
      <w:r w:rsidRPr="00B425C7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="0023446C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Pr="00B425C7">
        <w:rPr>
          <w:rFonts w:ascii="Times New Roman" w:eastAsia="標楷體" w:hAnsi="Times New Roman" w:hint="eastAsia"/>
          <w:bCs/>
          <w:color w:val="000000"/>
          <w:szCs w:val="24"/>
        </w:rPr>
        <w:t xml:space="preserve">     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>送審職級：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 xml:space="preserve">       </w:t>
      </w:r>
    </w:p>
    <w:p w:rsidR="00841E91" w:rsidRPr="00B425C7" w:rsidRDefault="00841E91" w:rsidP="00841E91">
      <w:pPr>
        <w:wordWrap w:val="0"/>
        <w:snapToGrid w:val="0"/>
        <w:spacing w:line="360" w:lineRule="auto"/>
        <w:ind w:right="482" w:firstLineChars="150" w:firstLine="300"/>
        <w:rPr>
          <w:rFonts w:ascii="Times New Roman" w:eastAsia="標楷體" w:hAnsi="Times New Roman"/>
          <w:bCs/>
          <w:color w:val="000000"/>
          <w:sz w:val="20"/>
          <w:szCs w:val="20"/>
        </w:rPr>
      </w:pPr>
    </w:p>
    <w:tbl>
      <w:tblPr>
        <w:tblW w:w="10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2651"/>
        <w:gridCol w:w="2650"/>
        <w:gridCol w:w="2651"/>
        <w:gridCol w:w="1111"/>
      </w:tblGrid>
      <w:tr w:rsidR="00841E91" w:rsidRPr="00B425C7" w:rsidTr="00910A77">
        <w:trPr>
          <w:trHeight w:val="35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A.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專業成就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外審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B.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研究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C.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D.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輔導與服務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A+B+C+D</w:t>
            </w:r>
          </w:p>
        </w:tc>
      </w:tr>
      <w:tr w:rsidR="00841E91" w:rsidRPr="00B425C7" w:rsidTr="00910A77">
        <w:trPr>
          <w:cantSplit/>
          <w:trHeight w:val="1978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15D77">
              <w:rPr>
                <w:rFonts w:ascii="Times New Roman" w:eastAsia="標楷體" w:hAnsi="Times New Roman" w:hint="eastAsia"/>
                <w:color w:val="000000"/>
                <w:sz w:val="22"/>
              </w:rPr>
              <w:t>六</w:t>
            </w:r>
            <w:r w:rsidRPr="00B425C7">
              <w:rPr>
                <w:rFonts w:ascii="Times New Roman" w:eastAsia="標楷體" w:hAnsi="Times New Roman"/>
                <w:color w:val="000000"/>
                <w:sz w:val="22"/>
              </w:rPr>
              <w:t>名外審成績總</w:t>
            </w:r>
            <w:r w:rsidRPr="00115D77">
              <w:rPr>
                <w:rFonts w:ascii="Times New Roman" w:eastAsia="標楷體" w:hAnsi="Times New Roman"/>
                <w:color w:val="000000"/>
                <w:sz w:val="22"/>
              </w:rPr>
              <w:t>和</w:t>
            </w:r>
            <w:r w:rsidRPr="00115D77">
              <w:rPr>
                <w:rFonts w:ascii="Times New Roman" w:eastAsia="標楷體" w:hAnsi="Times New Roman"/>
                <w:color w:val="000000"/>
                <w:sz w:val="22"/>
              </w:rPr>
              <w:t>÷</w:t>
            </w:r>
            <w:r w:rsidRPr="00115D77">
              <w:rPr>
                <w:rFonts w:ascii="Times New Roman" w:eastAsia="標楷體" w:hAnsi="Times New Roman" w:hint="eastAsia"/>
                <w:color w:val="000000"/>
                <w:sz w:val="22"/>
              </w:rPr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both"/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</w:pP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依本校「教師研究、教學、輔導與服務成績考核要點」評定分數，各學院在校定評量項目架構前提下，得視學院特性自訂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both"/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</w:pP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依本校「教師研究、教學、輔導與服務成績考核要點」評定分數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(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本項成績總分需達百分之七十以上，始得申請升等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both"/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</w:pP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依本校「教師研究、教學、輔導與服務成績考核要點」評定分數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(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本項成績需各分項成績分別達到配分分數百分之七十以上者，始得申請升等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</w:rPr>
              <w:t>總分</w:t>
            </w:r>
          </w:p>
        </w:tc>
      </w:tr>
    </w:tbl>
    <w:p w:rsidR="00841E91" w:rsidRPr="00B425C7" w:rsidRDefault="00841E91" w:rsidP="00841E91">
      <w:pPr>
        <w:spacing w:line="280" w:lineRule="exact"/>
        <w:ind w:leftChars="205" w:left="538" w:rightChars="363" w:right="871" w:hangingChars="21" w:hanging="46"/>
        <w:rPr>
          <w:rFonts w:ascii="Times New Roman" w:eastAsia="標楷體" w:hAnsi="Times New Roman"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color w:val="000000"/>
          <w:sz w:val="22"/>
          <w:szCs w:val="24"/>
        </w:rPr>
        <w:t>備註：</w:t>
      </w:r>
    </w:p>
    <w:p w:rsidR="00841E91" w:rsidRPr="00B425C7" w:rsidRDefault="00841E91" w:rsidP="00841E91">
      <w:pPr>
        <w:spacing w:line="280" w:lineRule="exact"/>
        <w:ind w:leftChars="350" w:left="1170" w:hangingChars="150" w:hanging="330"/>
        <w:rPr>
          <w:rFonts w:ascii="Times New Roman" w:eastAsia="標楷體" w:hAnsi="Times New Roman"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color w:val="000000"/>
          <w:sz w:val="22"/>
          <w:szCs w:val="24"/>
        </w:rPr>
        <w:t>1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、教師應於申請升等時擇定下列評分項目之比例，經本校辦理決審後之總成績總分達</w:t>
      </w:r>
      <w:r w:rsidRPr="0048742A">
        <w:rPr>
          <w:rFonts w:ascii="Times New Roman" w:eastAsia="標楷體" w:hAnsi="Times New Roman" w:hint="eastAsia"/>
          <w:b/>
          <w:color w:val="000000"/>
          <w:sz w:val="22"/>
          <w:szCs w:val="24"/>
          <w:u w:val="single"/>
        </w:rPr>
        <w:t>七十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分以上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(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小數點採計二位，不得四捨五入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)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者為通過升等。</w:t>
      </w:r>
    </w:p>
    <w:tbl>
      <w:tblPr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638"/>
        <w:gridCol w:w="938"/>
        <w:gridCol w:w="924"/>
        <w:gridCol w:w="1455"/>
      </w:tblGrid>
      <w:tr w:rsidR="00841E91" w:rsidRPr="00B425C7" w:rsidTr="00910A77">
        <w:trPr>
          <w:trHeight w:val="4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41E91" w:rsidRPr="00B425C7" w:rsidRDefault="00841E91" w:rsidP="00910A77">
            <w:pPr>
              <w:spacing w:line="28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A.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專業成就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B.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研究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C.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D.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輔導與服務</w:t>
            </w:r>
          </w:p>
        </w:tc>
      </w:tr>
      <w:tr w:rsidR="00841E91" w:rsidRPr="00B425C7" w:rsidTr="00910A77">
        <w:trPr>
          <w:trHeight w:val="4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B425C7">
              <w:rPr>
                <w:rFonts w:ascii="新細明體" w:hAnsi="新細明體"/>
                <w:color w:val="000000"/>
                <w:szCs w:val="24"/>
              </w:rPr>
              <w:sym w:font="Wingdings 2" w:char="F0A3"/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55%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15</w:t>
            </w: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分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20%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10%</w:t>
            </w:r>
          </w:p>
        </w:tc>
      </w:tr>
      <w:tr w:rsidR="00841E91" w:rsidRPr="00B425C7" w:rsidTr="00910A77">
        <w:trPr>
          <w:trHeight w:val="45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標楷體" w:eastAsia="標楷體" w:hAnsi="標楷體"/>
                <w:color w:val="000000"/>
                <w:szCs w:val="24"/>
              </w:rPr>
              <w:sym w:font="Wingdings 2" w:char="F0A3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10</w:t>
            </w: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15%</w:t>
            </w:r>
          </w:p>
        </w:tc>
      </w:tr>
    </w:tbl>
    <w:p w:rsidR="00841E91" w:rsidRPr="00B425C7" w:rsidRDefault="00841E91" w:rsidP="00841E91">
      <w:pPr>
        <w:spacing w:line="280" w:lineRule="exact"/>
        <w:ind w:leftChars="350" w:left="1170" w:hangingChars="150" w:hanging="330"/>
        <w:rPr>
          <w:rFonts w:ascii="Times New Roman" w:eastAsia="標楷體" w:hAnsi="Times New Roman"/>
          <w:bCs/>
          <w:iCs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bCs/>
          <w:iCs/>
          <w:color w:val="000000"/>
          <w:sz w:val="22"/>
          <w:szCs w:val="24"/>
        </w:rPr>
        <w:t>2</w:t>
      </w:r>
      <w:r w:rsidRPr="00B425C7">
        <w:rPr>
          <w:rFonts w:ascii="Times New Roman" w:eastAsia="標楷體" w:hAnsi="Times New Roman"/>
          <w:bCs/>
          <w:iCs/>
          <w:color w:val="000000"/>
          <w:sz w:val="22"/>
          <w:szCs w:val="24"/>
        </w:rPr>
        <w:t>、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教師之專業成就以專門著作、體育成就證明、技術報告、教學報告為代表著作送審者，其</w:t>
      </w:r>
      <w:r w:rsidRPr="00B425C7">
        <w:rPr>
          <w:rFonts w:ascii="Times New Roman" w:eastAsia="標楷體" w:hAnsi="Times New Roman"/>
          <w:bCs/>
          <w:iCs/>
          <w:color w:val="000000"/>
          <w:sz w:val="22"/>
          <w:szCs w:val="24"/>
        </w:rPr>
        <w:t>外審成績至少需經本校送</w:t>
      </w:r>
      <w:r w:rsidRPr="00115D77">
        <w:rPr>
          <w:rFonts w:ascii="Times New Roman" w:eastAsia="標楷體" w:hAnsi="Times New Roman" w:hint="eastAsia"/>
          <w:bCs/>
          <w:iCs/>
          <w:color w:val="000000"/>
          <w:sz w:val="22"/>
          <w:szCs w:val="24"/>
        </w:rPr>
        <w:t>六</w:t>
      </w:r>
      <w:r w:rsidRPr="00B425C7">
        <w:rPr>
          <w:rFonts w:ascii="Times New Roman" w:eastAsia="標楷體" w:hAnsi="Times New Roman"/>
          <w:bCs/>
          <w:iCs/>
          <w:color w:val="000000"/>
          <w:sz w:val="22"/>
          <w:szCs w:val="24"/>
        </w:rPr>
        <w:t>人審查，</w:t>
      </w:r>
      <w:r w:rsidRPr="0006070B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擬升等助理教授、副教授者，須有四人以上委員評審七十分以上為合格；擬升等教授者，須有四人以上委員評審七十五分以上</w:t>
      </w:r>
      <w:r w:rsidRPr="0006070B">
        <w:rPr>
          <w:rFonts w:ascii="Times New Roman" w:eastAsia="標楷體" w:hAnsi="Times New Roman"/>
          <w:b/>
          <w:bCs/>
          <w:iCs/>
          <w:color w:val="000000"/>
          <w:sz w:val="22"/>
          <w:szCs w:val="24"/>
          <w:u w:val="single"/>
        </w:rPr>
        <w:t>為</w:t>
      </w:r>
      <w:r w:rsidRPr="0006070B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合格</w:t>
      </w:r>
      <w:r w:rsidRPr="007C3D8E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；</w:t>
      </w:r>
      <w:r w:rsidRPr="0006070B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合格</w:t>
      </w:r>
      <w:r w:rsidRPr="00B425C7">
        <w:rPr>
          <w:rFonts w:ascii="Times New Roman" w:eastAsia="標楷體" w:hAnsi="Times New Roman"/>
          <w:bCs/>
          <w:iCs/>
          <w:color w:val="000000"/>
          <w:sz w:val="22"/>
          <w:szCs w:val="24"/>
        </w:rPr>
        <w:t>者，始得進行教評會審議升等程序。</w:t>
      </w:r>
    </w:p>
    <w:p w:rsidR="00841E91" w:rsidRPr="00B425C7" w:rsidRDefault="00841E91" w:rsidP="00841E91">
      <w:pPr>
        <w:spacing w:line="280" w:lineRule="exact"/>
        <w:ind w:leftChars="350" w:left="1170" w:hangingChars="150" w:hanging="330"/>
        <w:rPr>
          <w:rFonts w:ascii="Times New Roman" w:eastAsia="標楷體" w:hAnsi="Times New Roman"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color w:val="000000"/>
          <w:sz w:val="22"/>
          <w:szCs w:val="24"/>
        </w:rPr>
        <w:t>3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、</w:t>
      </w:r>
      <w:r w:rsidRPr="00B425C7">
        <w:rPr>
          <w:rFonts w:ascii="Times New Roman" w:eastAsia="標楷體" w:hAnsi="Times New Roman"/>
          <w:color w:val="000000"/>
          <w:sz w:val="22"/>
        </w:rPr>
        <w:t>輔導與服務</w:t>
      </w:r>
      <w:r w:rsidRPr="00B425C7">
        <w:rPr>
          <w:rFonts w:ascii="Times New Roman" w:eastAsia="標楷體" w:hAnsi="Times New Roman"/>
          <w:bCs/>
          <w:iCs/>
          <w:color w:val="000000"/>
          <w:sz w:val="22"/>
        </w:rPr>
        <w:t>成績需達各分項門檻之規定，自</w:t>
      </w:r>
      <w:r w:rsidRPr="00B425C7">
        <w:rPr>
          <w:rFonts w:ascii="Times New Roman" w:eastAsia="標楷體" w:hAnsi="Times New Roman"/>
          <w:bCs/>
          <w:iCs/>
          <w:color w:val="000000"/>
          <w:sz w:val="22"/>
        </w:rPr>
        <w:t>101</w:t>
      </w:r>
      <w:r w:rsidRPr="00B425C7">
        <w:rPr>
          <w:rFonts w:ascii="Times New Roman" w:eastAsia="標楷體" w:hAnsi="Times New Roman"/>
          <w:bCs/>
          <w:iCs/>
          <w:color w:val="000000"/>
          <w:sz w:val="22"/>
        </w:rPr>
        <w:t>學年度實施</w:t>
      </w:r>
      <w:r w:rsidRPr="00327587">
        <w:rPr>
          <w:rFonts w:ascii="標楷體" w:eastAsia="標楷體" w:hAnsi="標楷體" w:hint="eastAsia"/>
          <w:b/>
          <w:bCs/>
          <w:iCs/>
          <w:color w:val="000000"/>
          <w:sz w:val="22"/>
          <w:u w:val="single"/>
        </w:rPr>
        <w:t>；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外審合格</w:t>
      </w:r>
      <w:r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規定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自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1</w:t>
      </w:r>
      <w:r>
        <w:rPr>
          <w:rFonts w:ascii="Times New Roman" w:eastAsia="標楷體" w:hAnsi="Times New Roman"/>
          <w:b/>
          <w:bCs/>
          <w:iCs/>
          <w:color w:val="000000"/>
          <w:sz w:val="22"/>
          <w:u w:val="single"/>
        </w:rPr>
        <w:t>1</w:t>
      </w:r>
      <w:r w:rsidRPr="00327587">
        <w:rPr>
          <w:rFonts w:ascii="Times New Roman" w:eastAsia="標楷體" w:hAnsi="Times New Roman"/>
          <w:b/>
          <w:bCs/>
          <w:iCs/>
          <w:color w:val="000000"/>
          <w:sz w:val="22"/>
          <w:u w:val="single"/>
        </w:rPr>
        <w:t>3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學年度實施</w:t>
      </w:r>
      <w:r w:rsidRPr="00327587">
        <w:rPr>
          <w:rFonts w:ascii="Times New Roman" w:eastAsia="標楷體" w:hAnsi="Times New Roman"/>
          <w:b/>
          <w:bCs/>
          <w:iCs/>
          <w:color w:val="000000"/>
          <w:sz w:val="22"/>
          <w:u w:val="single"/>
        </w:rPr>
        <w:t>。</w:t>
      </w:r>
    </w:p>
    <w:p w:rsidR="00841E91" w:rsidRPr="00B425C7" w:rsidRDefault="00841E91" w:rsidP="00841E91">
      <w:pPr>
        <w:spacing w:line="280" w:lineRule="exact"/>
        <w:ind w:leftChars="350" w:left="1170" w:hangingChars="150" w:hanging="330"/>
        <w:rPr>
          <w:rFonts w:ascii="Times New Roman" w:eastAsia="標楷體" w:hAnsi="Times New Roman"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color w:val="000000"/>
          <w:sz w:val="22"/>
        </w:rPr>
        <w:t>4</w:t>
      </w:r>
      <w:r w:rsidRPr="00B425C7">
        <w:rPr>
          <w:rFonts w:ascii="Times New Roman" w:eastAsia="標楷體" w:hAnsi="Times New Roman"/>
          <w:color w:val="000000"/>
          <w:sz w:val="22"/>
        </w:rPr>
        <w:t>、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請附研究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(B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項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)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、教學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(C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項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)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、輔導與服務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(D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項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)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之評分申請表及項目認證表。</w:t>
      </w:r>
    </w:p>
    <w:p w:rsidR="00841E91" w:rsidRDefault="00841E91" w:rsidP="00841E91">
      <w:pPr>
        <w:pStyle w:val="Default"/>
        <w:ind w:leftChars="550" w:left="1320"/>
        <w:rPr>
          <w:sz w:val="26"/>
          <w:szCs w:val="26"/>
        </w:rPr>
      </w:pPr>
    </w:p>
    <w:p w:rsidR="00841E91" w:rsidRDefault="00841E91" w:rsidP="00841E91">
      <w:pPr>
        <w:widowControl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sz w:val="26"/>
          <w:szCs w:val="26"/>
        </w:rPr>
        <w:br w:type="page"/>
      </w:r>
    </w:p>
    <w:p w:rsidR="00841E91" w:rsidRPr="00B425C7" w:rsidRDefault="00841E91" w:rsidP="00841E91">
      <w:pPr>
        <w:snapToGrid w:val="0"/>
        <w:jc w:val="center"/>
        <w:rPr>
          <w:rFonts w:ascii="Times New Roman" w:eastAsia="標楷體" w:hAnsi="Times New Roman"/>
          <w:bCs/>
          <w:color w:val="000000"/>
          <w:sz w:val="36"/>
          <w:szCs w:val="36"/>
        </w:rPr>
      </w:pPr>
      <w:r w:rsidRPr="00B425C7">
        <w:rPr>
          <w:rFonts w:ascii="Times New Roman" w:eastAsia="標楷體" w:hAnsi="Times New Roman"/>
          <w:bCs/>
          <w:color w:val="000000"/>
          <w:sz w:val="36"/>
          <w:szCs w:val="36"/>
        </w:rPr>
        <w:lastRenderedPageBreak/>
        <w:t>國立屏東科技大學教師升等評分量表之二</w:t>
      </w:r>
    </w:p>
    <w:p w:rsidR="00841E91" w:rsidRPr="00B425C7" w:rsidRDefault="00841E91" w:rsidP="00841E91">
      <w:pPr>
        <w:snapToGrid w:val="0"/>
        <w:jc w:val="center"/>
        <w:rPr>
          <w:rFonts w:ascii="Times New Roman" w:eastAsia="標楷體" w:hAnsi="Times New Roman"/>
          <w:bCs/>
          <w:color w:val="000000"/>
          <w:sz w:val="36"/>
          <w:szCs w:val="36"/>
        </w:rPr>
      </w:pPr>
      <w:r w:rsidRPr="00B425C7">
        <w:rPr>
          <w:rFonts w:ascii="Times New Roman" w:eastAsia="標楷體" w:hAnsi="Times New Roman"/>
          <w:bCs/>
          <w:color w:val="000000"/>
          <w:sz w:val="36"/>
          <w:szCs w:val="36"/>
        </w:rPr>
        <w:t>（以作品、藝術成就證明送審者適用）</w:t>
      </w:r>
    </w:p>
    <w:p w:rsidR="00841E91" w:rsidRPr="00B425C7" w:rsidRDefault="00841E91" w:rsidP="00841E91">
      <w:pPr>
        <w:snapToGrid w:val="0"/>
        <w:jc w:val="right"/>
        <w:rPr>
          <w:rFonts w:ascii="Times New Roman" w:eastAsia="標楷體" w:hAnsi="Times New Roman"/>
          <w:bCs/>
          <w:color w:val="000000"/>
          <w:sz w:val="20"/>
          <w:szCs w:val="20"/>
        </w:rPr>
      </w:pPr>
    </w:p>
    <w:p w:rsidR="00841E91" w:rsidRPr="00B425C7" w:rsidRDefault="00841E91" w:rsidP="00841E91">
      <w:pPr>
        <w:snapToGrid w:val="0"/>
        <w:jc w:val="right"/>
        <w:rPr>
          <w:rFonts w:ascii="Times New Roman" w:eastAsia="標楷體" w:hAnsi="Times New Roman"/>
          <w:bCs/>
          <w:color w:val="000000"/>
          <w:sz w:val="20"/>
          <w:szCs w:val="20"/>
        </w:rPr>
      </w:pPr>
    </w:p>
    <w:p w:rsidR="00841E91" w:rsidRPr="00B425C7" w:rsidRDefault="00841E91" w:rsidP="00841E91">
      <w:pPr>
        <w:wordWrap w:val="0"/>
        <w:snapToGrid w:val="0"/>
        <w:spacing w:line="360" w:lineRule="auto"/>
        <w:ind w:right="482"/>
        <w:rPr>
          <w:rFonts w:ascii="Times New Roman" w:eastAsia="標楷體" w:hAnsi="Times New Roman"/>
          <w:bCs/>
          <w:color w:val="000000"/>
          <w:szCs w:val="24"/>
        </w:rPr>
      </w:pPr>
      <w:r w:rsidRPr="00B425C7">
        <w:rPr>
          <w:rFonts w:ascii="Times New Roman" w:eastAsia="標楷體" w:hAnsi="Times New Roman"/>
          <w:bCs/>
          <w:color w:val="000000"/>
          <w:szCs w:val="24"/>
        </w:rPr>
        <w:t>申請升等教師姓名：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 xml:space="preserve">            </w:t>
      </w:r>
      <w:r w:rsidRPr="00B425C7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>任教系所：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 xml:space="preserve">     </w:t>
      </w:r>
      <w:r w:rsidRPr="00B425C7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 xml:space="preserve">   </w:t>
      </w:r>
      <w:r w:rsidRPr="00B425C7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>送審職級：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 xml:space="preserve">               </w:t>
      </w: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586"/>
        <w:gridCol w:w="2585"/>
        <w:gridCol w:w="2586"/>
        <w:gridCol w:w="1111"/>
      </w:tblGrid>
      <w:tr w:rsidR="00841E91" w:rsidRPr="00B425C7" w:rsidTr="00910A77">
        <w:trPr>
          <w:trHeight w:val="35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A.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專業成就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外審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B.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研究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C.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D.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輔導與服務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A+B+C+D</w:t>
            </w:r>
          </w:p>
        </w:tc>
      </w:tr>
      <w:tr w:rsidR="00841E91" w:rsidRPr="00B425C7" w:rsidTr="00910A77">
        <w:trPr>
          <w:cantSplit/>
          <w:trHeight w:val="2148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15D77">
              <w:rPr>
                <w:rFonts w:ascii="Times New Roman" w:eastAsia="標楷體" w:hAnsi="Times New Roman" w:hint="eastAsia"/>
                <w:color w:val="000000"/>
                <w:sz w:val="22"/>
              </w:rPr>
              <w:t>六</w:t>
            </w:r>
            <w:r w:rsidRPr="00B425C7">
              <w:rPr>
                <w:rFonts w:ascii="Times New Roman" w:eastAsia="標楷體" w:hAnsi="Times New Roman"/>
                <w:color w:val="000000"/>
                <w:sz w:val="22"/>
              </w:rPr>
              <w:t>名外審成績總和</w:t>
            </w:r>
            <w:r w:rsidRPr="00B425C7">
              <w:rPr>
                <w:rFonts w:ascii="Times New Roman" w:eastAsia="標楷體" w:hAnsi="Times New Roman"/>
                <w:color w:val="000000"/>
                <w:sz w:val="22"/>
              </w:rPr>
              <w:t>÷</w:t>
            </w:r>
            <w:r w:rsidRPr="00115D77">
              <w:rPr>
                <w:rFonts w:ascii="Times New Roman" w:eastAsia="標楷體" w:hAnsi="Times New Roman" w:hint="eastAsia"/>
                <w:color w:val="000000"/>
                <w:sz w:val="22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both"/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</w:pP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依本校「教師研究、教學、輔導與服務成績考核要點」評定分數，各學院在校定評量項目架構前提下，得視學院特性自訂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both"/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</w:pP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依本校「教師研究、教學、輔導與服務成績考核要點」評定分數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(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本項成績總分需達百分之七十以上，始得申請升等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both"/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</w:pP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依本校「教師研究、教學、輔導與服務成績考核要點」評定分數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(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本項成績需各分項成績分別達到配分分數百分之七十以上者，始得申請升等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</w:rPr>
              <w:t>總分</w:t>
            </w:r>
          </w:p>
        </w:tc>
      </w:tr>
    </w:tbl>
    <w:p w:rsidR="00841E91" w:rsidRPr="00B425C7" w:rsidRDefault="00841E91" w:rsidP="00841E91">
      <w:pPr>
        <w:spacing w:line="280" w:lineRule="exact"/>
        <w:ind w:leftChars="205" w:left="538" w:rightChars="363" w:right="871" w:hangingChars="21" w:hanging="46"/>
        <w:rPr>
          <w:rFonts w:ascii="Times New Roman" w:eastAsia="標楷體" w:hAnsi="Times New Roman"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color w:val="000000"/>
          <w:sz w:val="22"/>
          <w:szCs w:val="24"/>
        </w:rPr>
        <w:t>備註：</w:t>
      </w:r>
    </w:p>
    <w:p w:rsidR="00841E91" w:rsidRPr="00B425C7" w:rsidRDefault="00841E91" w:rsidP="00841E91">
      <w:pPr>
        <w:spacing w:line="280" w:lineRule="exact"/>
        <w:ind w:leftChars="350" w:left="1170" w:hangingChars="150" w:hanging="330"/>
        <w:rPr>
          <w:rFonts w:ascii="Times New Roman" w:eastAsia="標楷體" w:hAnsi="Times New Roman"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color w:val="000000"/>
          <w:sz w:val="22"/>
          <w:szCs w:val="24"/>
        </w:rPr>
        <w:t>1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、教師應於申請升等時擇定下列評分項目之比例，經本校辦理決審後之總成績總分達</w:t>
      </w:r>
      <w:r w:rsidRPr="0048742A">
        <w:rPr>
          <w:rFonts w:ascii="Times New Roman" w:eastAsia="標楷體" w:hAnsi="Times New Roman" w:hint="eastAsia"/>
          <w:b/>
          <w:color w:val="000000"/>
          <w:sz w:val="22"/>
          <w:szCs w:val="24"/>
          <w:u w:val="single"/>
        </w:rPr>
        <w:t>七十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分以上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(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小數點採計二位，不得四捨五入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)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者為通過升等。</w:t>
      </w:r>
    </w:p>
    <w:tbl>
      <w:tblPr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638"/>
        <w:gridCol w:w="938"/>
        <w:gridCol w:w="924"/>
        <w:gridCol w:w="1455"/>
      </w:tblGrid>
      <w:tr w:rsidR="00841E91" w:rsidRPr="00B425C7" w:rsidTr="00910A77">
        <w:trPr>
          <w:trHeight w:val="4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41E91" w:rsidRPr="00B425C7" w:rsidRDefault="00841E91" w:rsidP="00910A77">
            <w:pPr>
              <w:spacing w:line="28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A.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專業成就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B.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研究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C.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D.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輔導與服務</w:t>
            </w:r>
          </w:p>
        </w:tc>
      </w:tr>
      <w:tr w:rsidR="00841E91" w:rsidRPr="00B425C7" w:rsidTr="00910A77">
        <w:trPr>
          <w:trHeight w:val="4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新細明體" w:hAnsi="新細明體"/>
                <w:color w:val="000000"/>
                <w:szCs w:val="24"/>
              </w:rPr>
              <w:sym w:font="Wingdings 2" w:char="F0A3"/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55%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15</w:t>
            </w: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分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20%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10%</w:t>
            </w:r>
          </w:p>
        </w:tc>
      </w:tr>
      <w:tr w:rsidR="00841E91" w:rsidRPr="00B425C7" w:rsidTr="00910A77">
        <w:trPr>
          <w:trHeight w:val="45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新細明體" w:hAnsi="新細明體"/>
                <w:color w:val="000000"/>
                <w:szCs w:val="24"/>
              </w:rPr>
              <w:sym w:font="Wingdings 2" w:char="F0A3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10</w:t>
            </w: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15%</w:t>
            </w:r>
          </w:p>
        </w:tc>
      </w:tr>
    </w:tbl>
    <w:p w:rsidR="00841E91" w:rsidRPr="00B425C7" w:rsidRDefault="00841E91" w:rsidP="00841E91">
      <w:pPr>
        <w:spacing w:line="280" w:lineRule="exact"/>
        <w:ind w:leftChars="350" w:left="1170" w:hangingChars="150" w:hanging="330"/>
        <w:rPr>
          <w:rFonts w:ascii="Times New Roman" w:eastAsia="標楷體" w:hAnsi="Times New Roman"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color w:val="000000"/>
          <w:sz w:val="22"/>
          <w:szCs w:val="24"/>
        </w:rPr>
        <w:t>2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、教師之專業成就以作品、藝術成就證明為代表著作送審者，其外審成績至少需經本校送</w:t>
      </w:r>
      <w:r w:rsidRPr="00115D77">
        <w:rPr>
          <w:rFonts w:ascii="Times New Roman" w:eastAsia="標楷體" w:hAnsi="Times New Roman" w:hint="eastAsia"/>
          <w:color w:val="000000"/>
          <w:sz w:val="22"/>
          <w:szCs w:val="24"/>
        </w:rPr>
        <w:t>六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人審查，</w:t>
      </w:r>
      <w:r w:rsidRPr="0006070B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擬升等助理教授、副教授者，須有四人以上委員評審七十分以上為合格；擬升等教授者，須有四人以上委員評審七十五分以上</w:t>
      </w:r>
      <w:r w:rsidRPr="0006070B">
        <w:rPr>
          <w:rFonts w:ascii="Times New Roman" w:eastAsia="標楷體" w:hAnsi="Times New Roman"/>
          <w:b/>
          <w:bCs/>
          <w:iCs/>
          <w:color w:val="000000"/>
          <w:sz w:val="22"/>
          <w:szCs w:val="24"/>
          <w:u w:val="single"/>
        </w:rPr>
        <w:t>為</w:t>
      </w:r>
      <w:r w:rsidRPr="0006070B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合格</w:t>
      </w:r>
      <w:r w:rsidRPr="007C3D8E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；</w:t>
      </w:r>
      <w:r w:rsidRPr="0006070B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合格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者，始得進行教評會審議升等程序。</w:t>
      </w:r>
    </w:p>
    <w:p w:rsidR="00841E91" w:rsidRPr="00B425C7" w:rsidRDefault="00841E91" w:rsidP="00841E91">
      <w:pPr>
        <w:spacing w:line="280" w:lineRule="exact"/>
        <w:ind w:leftChars="350" w:left="1170" w:hangingChars="150" w:hanging="330"/>
        <w:rPr>
          <w:rFonts w:ascii="Times New Roman" w:eastAsia="標楷體" w:hAnsi="Times New Roman"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color w:val="000000"/>
          <w:sz w:val="22"/>
          <w:szCs w:val="24"/>
        </w:rPr>
        <w:t>3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、輔導與服務成績需各分項門檻之規定，自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101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學年度實施</w:t>
      </w:r>
      <w:r w:rsidRPr="00327587">
        <w:rPr>
          <w:rFonts w:ascii="標楷體" w:eastAsia="標楷體" w:hAnsi="標楷體" w:hint="eastAsia"/>
          <w:b/>
          <w:bCs/>
          <w:iCs/>
          <w:color w:val="000000"/>
          <w:sz w:val="22"/>
          <w:u w:val="single"/>
        </w:rPr>
        <w:t>；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外審合格</w:t>
      </w:r>
      <w:r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規定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自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1</w:t>
      </w:r>
      <w:r>
        <w:rPr>
          <w:rFonts w:ascii="Times New Roman" w:eastAsia="標楷體" w:hAnsi="Times New Roman"/>
          <w:b/>
          <w:bCs/>
          <w:iCs/>
          <w:color w:val="000000"/>
          <w:sz w:val="22"/>
          <w:u w:val="single"/>
        </w:rPr>
        <w:t>1</w:t>
      </w:r>
      <w:r w:rsidRPr="00327587">
        <w:rPr>
          <w:rFonts w:ascii="Times New Roman" w:eastAsia="標楷體" w:hAnsi="Times New Roman"/>
          <w:b/>
          <w:bCs/>
          <w:iCs/>
          <w:color w:val="000000"/>
          <w:sz w:val="22"/>
          <w:u w:val="single"/>
        </w:rPr>
        <w:t>3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學年度實施</w:t>
      </w:r>
      <w:r w:rsidRPr="00327587">
        <w:rPr>
          <w:rFonts w:ascii="Times New Roman" w:eastAsia="標楷體" w:hAnsi="Times New Roman"/>
          <w:b/>
          <w:bCs/>
          <w:iCs/>
          <w:color w:val="000000"/>
          <w:sz w:val="22"/>
          <w:u w:val="single"/>
        </w:rPr>
        <w:t>。</w:t>
      </w:r>
    </w:p>
    <w:p w:rsidR="00841E91" w:rsidRDefault="00841E91" w:rsidP="00841E91">
      <w:pPr>
        <w:pStyle w:val="Default"/>
        <w:ind w:leftChars="350" w:left="840"/>
        <w:rPr>
          <w:rFonts w:ascii="Times New Roman" w:hAnsi="Times New Roman"/>
          <w:sz w:val="22"/>
        </w:rPr>
      </w:pPr>
      <w:r w:rsidRPr="00B425C7">
        <w:rPr>
          <w:rFonts w:ascii="Times New Roman" w:hAnsi="Times New Roman"/>
          <w:sz w:val="22"/>
        </w:rPr>
        <w:t>4</w:t>
      </w:r>
      <w:r w:rsidRPr="00B425C7">
        <w:rPr>
          <w:rFonts w:ascii="Times New Roman" w:hAnsi="Times New Roman"/>
          <w:sz w:val="22"/>
        </w:rPr>
        <w:t>、請附研究</w:t>
      </w:r>
      <w:r w:rsidRPr="00B425C7">
        <w:rPr>
          <w:rFonts w:ascii="Times New Roman" w:hAnsi="Times New Roman"/>
          <w:sz w:val="22"/>
        </w:rPr>
        <w:t>(B</w:t>
      </w:r>
      <w:r w:rsidRPr="00B425C7">
        <w:rPr>
          <w:rFonts w:ascii="Times New Roman" w:hAnsi="Times New Roman"/>
          <w:sz w:val="22"/>
        </w:rPr>
        <w:t>項</w:t>
      </w:r>
      <w:r w:rsidRPr="00B425C7">
        <w:rPr>
          <w:rFonts w:ascii="Times New Roman" w:hAnsi="Times New Roman"/>
          <w:sz w:val="22"/>
        </w:rPr>
        <w:t>)</w:t>
      </w:r>
      <w:r w:rsidRPr="00B425C7">
        <w:rPr>
          <w:rFonts w:ascii="Times New Roman" w:hAnsi="Times New Roman"/>
          <w:sz w:val="22"/>
        </w:rPr>
        <w:t>、教學</w:t>
      </w:r>
      <w:r w:rsidRPr="00B425C7">
        <w:rPr>
          <w:rFonts w:ascii="Times New Roman" w:hAnsi="Times New Roman"/>
          <w:sz w:val="22"/>
        </w:rPr>
        <w:t>(C</w:t>
      </w:r>
      <w:r w:rsidRPr="00B425C7">
        <w:rPr>
          <w:rFonts w:ascii="Times New Roman" w:hAnsi="Times New Roman"/>
          <w:sz w:val="22"/>
        </w:rPr>
        <w:t>項</w:t>
      </w:r>
      <w:r w:rsidRPr="00B425C7">
        <w:rPr>
          <w:rFonts w:ascii="Times New Roman" w:hAnsi="Times New Roman"/>
          <w:sz w:val="22"/>
        </w:rPr>
        <w:t>)</w:t>
      </w:r>
      <w:r w:rsidRPr="00B425C7">
        <w:rPr>
          <w:rFonts w:ascii="Times New Roman" w:hAnsi="Times New Roman"/>
          <w:sz w:val="22"/>
        </w:rPr>
        <w:t>、輔導與服務</w:t>
      </w:r>
      <w:r w:rsidRPr="00B425C7">
        <w:rPr>
          <w:rFonts w:ascii="Times New Roman" w:hAnsi="Times New Roman"/>
          <w:sz w:val="22"/>
        </w:rPr>
        <w:t>(D</w:t>
      </w:r>
      <w:r w:rsidRPr="00B425C7">
        <w:rPr>
          <w:rFonts w:ascii="Times New Roman" w:hAnsi="Times New Roman"/>
          <w:sz w:val="22"/>
        </w:rPr>
        <w:t>項</w:t>
      </w:r>
      <w:r w:rsidRPr="00B425C7">
        <w:rPr>
          <w:rFonts w:ascii="Times New Roman" w:hAnsi="Times New Roman"/>
          <w:sz w:val="22"/>
        </w:rPr>
        <w:t>)</w:t>
      </w:r>
      <w:r w:rsidRPr="00B425C7">
        <w:rPr>
          <w:rFonts w:ascii="Times New Roman" w:hAnsi="Times New Roman"/>
          <w:sz w:val="22"/>
        </w:rPr>
        <w:t>之評分申請表及項目認證表。</w:t>
      </w:r>
    </w:p>
    <w:p w:rsidR="00841E91" w:rsidRDefault="00841E91" w:rsidP="00841E91">
      <w:pPr>
        <w:widowControl/>
        <w:rPr>
          <w:rFonts w:ascii="Times New Roman" w:eastAsia="標楷體" w:hAnsi="Times New Roman" w:cs="標楷體"/>
          <w:color w:val="000000"/>
          <w:kern w:val="0"/>
          <w:sz w:val="22"/>
          <w:szCs w:val="24"/>
        </w:rPr>
      </w:pPr>
      <w:r>
        <w:rPr>
          <w:rFonts w:ascii="Times New Roman" w:hAnsi="Times New Roman"/>
          <w:sz w:val="22"/>
        </w:rPr>
        <w:br w:type="page"/>
      </w:r>
    </w:p>
    <w:p w:rsidR="00841E91" w:rsidRPr="00B425C7" w:rsidRDefault="00841E91" w:rsidP="00841E91">
      <w:pPr>
        <w:snapToGrid w:val="0"/>
        <w:jc w:val="center"/>
        <w:rPr>
          <w:rFonts w:ascii="Times New Roman" w:eastAsia="標楷體" w:hAnsi="Times New Roman"/>
          <w:bCs/>
          <w:color w:val="000000"/>
          <w:sz w:val="36"/>
          <w:szCs w:val="36"/>
        </w:rPr>
      </w:pPr>
      <w:r w:rsidRPr="00B425C7">
        <w:rPr>
          <w:rFonts w:ascii="Times New Roman" w:eastAsia="標楷體" w:hAnsi="Times New Roman"/>
          <w:bCs/>
          <w:color w:val="000000"/>
          <w:sz w:val="36"/>
          <w:szCs w:val="36"/>
        </w:rPr>
        <w:lastRenderedPageBreak/>
        <w:t>國立屏東科技大學教師升等評分量表之三</w:t>
      </w:r>
    </w:p>
    <w:p w:rsidR="00841E91" w:rsidRPr="00B425C7" w:rsidRDefault="00841E91" w:rsidP="00841E91">
      <w:pPr>
        <w:snapToGrid w:val="0"/>
        <w:jc w:val="center"/>
        <w:rPr>
          <w:rFonts w:ascii="Times New Roman" w:eastAsia="標楷體" w:hAnsi="Times New Roman"/>
          <w:bCs/>
          <w:color w:val="000000"/>
          <w:sz w:val="32"/>
          <w:szCs w:val="32"/>
        </w:rPr>
      </w:pPr>
      <w:r w:rsidRPr="00B425C7">
        <w:rPr>
          <w:rFonts w:ascii="Times New Roman" w:eastAsia="標楷體" w:hAnsi="Times New Roman"/>
          <w:bCs/>
          <w:color w:val="000000"/>
          <w:sz w:val="36"/>
          <w:szCs w:val="36"/>
        </w:rPr>
        <w:t>（以學位論文取代專門著作送審者適用）</w:t>
      </w:r>
    </w:p>
    <w:p w:rsidR="00841E91" w:rsidRPr="00B425C7" w:rsidRDefault="00841E91" w:rsidP="00841E91">
      <w:pPr>
        <w:snapToGrid w:val="0"/>
        <w:spacing w:line="240" w:lineRule="exact"/>
        <w:jc w:val="right"/>
        <w:rPr>
          <w:rFonts w:ascii="Times New Roman" w:eastAsia="標楷體" w:hAnsi="Times New Roman"/>
          <w:bCs/>
          <w:color w:val="000000"/>
          <w:sz w:val="20"/>
          <w:szCs w:val="20"/>
        </w:rPr>
      </w:pPr>
    </w:p>
    <w:p w:rsidR="00841E91" w:rsidRPr="00B425C7" w:rsidRDefault="00841E91" w:rsidP="00841E91">
      <w:pPr>
        <w:snapToGrid w:val="0"/>
        <w:spacing w:line="240" w:lineRule="exact"/>
        <w:jc w:val="right"/>
        <w:rPr>
          <w:rFonts w:ascii="Times New Roman" w:eastAsia="標楷體" w:hAnsi="Times New Roman"/>
          <w:bCs/>
          <w:color w:val="000000"/>
          <w:sz w:val="20"/>
          <w:szCs w:val="20"/>
        </w:rPr>
      </w:pPr>
    </w:p>
    <w:p w:rsidR="00841E91" w:rsidRPr="00B425C7" w:rsidRDefault="00841E91" w:rsidP="00841E91">
      <w:pPr>
        <w:wordWrap w:val="0"/>
        <w:snapToGrid w:val="0"/>
        <w:spacing w:line="360" w:lineRule="auto"/>
        <w:ind w:right="482"/>
        <w:rPr>
          <w:rFonts w:ascii="Times New Roman" w:eastAsia="標楷體" w:hAnsi="Times New Roman"/>
          <w:bCs/>
          <w:color w:val="000000"/>
          <w:sz w:val="20"/>
          <w:szCs w:val="20"/>
        </w:rPr>
      </w:pPr>
      <w:r w:rsidRPr="00B425C7">
        <w:rPr>
          <w:rFonts w:ascii="Times New Roman" w:eastAsia="標楷體" w:hAnsi="Times New Roman"/>
          <w:bCs/>
          <w:color w:val="000000"/>
          <w:szCs w:val="24"/>
        </w:rPr>
        <w:t>申請升等教師姓名：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 xml:space="preserve">              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>任教系所：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 xml:space="preserve"> </w:t>
      </w:r>
      <w:r w:rsidRPr="00B425C7">
        <w:rPr>
          <w:rFonts w:ascii="Times New Roman" w:eastAsia="標楷體" w:hAnsi="Times New Roman" w:hint="eastAsia"/>
          <w:bCs/>
          <w:color w:val="000000"/>
          <w:szCs w:val="24"/>
        </w:rPr>
        <w:t xml:space="preserve">     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 xml:space="preserve">      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>送審職級：</w:t>
      </w:r>
      <w:r w:rsidRPr="00B425C7">
        <w:rPr>
          <w:rFonts w:ascii="Times New Roman" w:eastAsia="標楷體" w:hAnsi="Times New Roman"/>
          <w:bCs/>
          <w:color w:val="000000"/>
          <w:szCs w:val="24"/>
        </w:rPr>
        <w:t xml:space="preserve">                </w:t>
      </w: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2666"/>
        <w:gridCol w:w="2657"/>
        <w:gridCol w:w="1142"/>
      </w:tblGrid>
      <w:tr w:rsidR="00841E91" w:rsidRPr="00B425C7" w:rsidTr="00910A77">
        <w:trPr>
          <w:trHeight w:val="350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A.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專業成就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外審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C.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D.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輔導與服務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41E91" w:rsidRPr="00B425C7" w:rsidRDefault="00841E91" w:rsidP="00910A7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A+C+D</w:t>
            </w:r>
          </w:p>
        </w:tc>
      </w:tr>
      <w:tr w:rsidR="00841E91" w:rsidRPr="00B425C7" w:rsidTr="00910A77">
        <w:trPr>
          <w:cantSplit/>
          <w:trHeight w:val="2027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center"/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</w:pPr>
            <w:r w:rsidRPr="00115D77">
              <w:rPr>
                <w:rFonts w:ascii="Times New Roman" w:eastAsia="標楷體" w:hAnsi="Times New Roman" w:hint="eastAsia"/>
                <w:color w:val="000000"/>
                <w:sz w:val="22"/>
              </w:rPr>
              <w:t>六</w:t>
            </w:r>
            <w:r w:rsidRPr="00B425C7">
              <w:rPr>
                <w:rFonts w:ascii="Times New Roman" w:eastAsia="標楷體" w:hAnsi="Times New Roman"/>
                <w:color w:val="000000"/>
                <w:sz w:val="22"/>
              </w:rPr>
              <w:t>名外審成績總和</w:t>
            </w:r>
            <w:r w:rsidRPr="00B425C7">
              <w:rPr>
                <w:rFonts w:ascii="Times New Roman" w:eastAsia="標楷體" w:hAnsi="Times New Roman"/>
                <w:color w:val="000000"/>
                <w:sz w:val="22"/>
              </w:rPr>
              <w:t>÷</w:t>
            </w:r>
            <w:r w:rsidRPr="00115D77">
              <w:rPr>
                <w:rFonts w:ascii="Times New Roman" w:eastAsia="標楷體" w:hAnsi="Times New Roman" w:hint="eastAsia"/>
                <w:color w:val="000000"/>
                <w:sz w:val="22"/>
              </w:rPr>
              <w:t>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both"/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</w:pP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依本校「教師研究、教學、輔導與服務成績考核要點」評定分數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(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本項成績總分需達百分之七十以上，始得申請升等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both"/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</w:pP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依本校「教師研究、教學、輔導與服務成績考核要點」評定分數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(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本項成績需各分項成績分別達到配分分數百分之七十以上者，始得申請升等</w:t>
            </w:r>
            <w:r w:rsidRPr="00B425C7">
              <w:rPr>
                <w:rFonts w:ascii="Times New Roman" w:eastAsia="標楷體" w:hAnsi="Times New Roman"/>
                <w:bCs/>
                <w:iCs/>
                <w:color w:val="000000"/>
                <w:sz w:val="22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</w:rPr>
              <w:t>總分</w:t>
            </w:r>
          </w:p>
        </w:tc>
      </w:tr>
    </w:tbl>
    <w:p w:rsidR="00841E91" w:rsidRPr="00B425C7" w:rsidRDefault="00841E91" w:rsidP="00841E91">
      <w:pPr>
        <w:spacing w:line="280" w:lineRule="exact"/>
        <w:ind w:leftChars="205" w:left="538" w:rightChars="363" w:right="871" w:hangingChars="21" w:hanging="46"/>
        <w:rPr>
          <w:rFonts w:ascii="Times New Roman" w:eastAsia="標楷體" w:hAnsi="Times New Roman"/>
          <w:color w:val="000000"/>
          <w:sz w:val="22"/>
          <w:szCs w:val="24"/>
        </w:rPr>
      </w:pPr>
    </w:p>
    <w:p w:rsidR="00841E91" w:rsidRPr="00B425C7" w:rsidRDefault="00841E91" w:rsidP="00841E91">
      <w:pPr>
        <w:spacing w:line="280" w:lineRule="exact"/>
        <w:ind w:leftChars="205" w:left="538" w:rightChars="363" w:right="871" w:hangingChars="21" w:hanging="46"/>
        <w:rPr>
          <w:rFonts w:ascii="Times New Roman" w:eastAsia="標楷體" w:hAnsi="Times New Roman"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color w:val="000000"/>
          <w:sz w:val="22"/>
          <w:szCs w:val="24"/>
        </w:rPr>
        <w:t>備註：</w:t>
      </w:r>
    </w:p>
    <w:p w:rsidR="00841E91" w:rsidRPr="00B425C7" w:rsidRDefault="00841E91" w:rsidP="00841E91">
      <w:pPr>
        <w:spacing w:line="280" w:lineRule="exact"/>
        <w:ind w:leftChars="350" w:left="1170" w:hangingChars="150" w:hanging="330"/>
        <w:rPr>
          <w:rFonts w:ascii="Times New Roman" w:eastAsia="標楷體" w:hAnsi="Times New Roman"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color w:val="000000"/>
          <w:sz w:val="22"/>
          <w:szCs w:val="24"/>
        </w:rPr>
        <w:t>1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、教師應於申請升等時擇定下列評分項目之比例，經本校辦理決審後之總成績總分達</w:t>
      </w:r>
      <w:r w:rsidRPr="0048742A">
        <w:rPr>
          <w:rFonts w:ascii="Times New Roman" w:eastAsia="標楷體" w:hAnsi="Times New Roman" w:hint="eastAsia"/>
          <w:b/>
          <w:color w:val="000000"/>
          <w:sz w:val="22"/>
          <w:szCs w:val="24"/>
          <w:u w:val="single"/>
        </w:rPr>
        <w:t>七十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分以上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(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小數點採計二位，不得四捨五入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)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者為通過升等。</w:t>
      </w:r>
    </w:p>
    <w:tbl>
      <w:tblPr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638"/>
        <w:gridCol w:w="924"/>
        <w:gridCol w:w="1455"/>
      </w:tblGrid>
      <w:tr w:rsidR="00841E91" w:rsidRPr="00B425C7" w:rsidTr="00910A77">
        <w:trPr>
          <w:trHeight w:val="4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41E91" w:rsidRPr="00B425C7" w:rsidRDefault="00841E91" w:rsidP="00910A77">
            <w:pPr>
              <w:spacing w:line="28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A.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專業成就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C.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D.</w:t>
            </w:r>
            <w:r w:rsidRPr="00B425C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輔導與服務</w:t>
            </w:r>
          </w:p>
        </w:tc>
      </w:tr>
      <w:tr w:rsidR="00841E91" w:rsidRPr="00B425C7" w:rsidTr="00910A77">
        <w:trPr>
          <w:trHeight w:val="4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新細明體" w:hAnsi="新細明體"/>
                <w:color w:val="000000"/>
                <w:szCs w:val="24"/>
              </w:rPr>
              <w:sym w:font="Wingdings 2" w:char="F0A3"/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70%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20%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10%</w:t>
            </w:r>
          </w:p>
        </w:tc>
      </w:tr>
      <w:tr w:rsidR="00841E91" w:rsidRPr="00B425C7" w:rsidTr="00910A77">
        <w:trPr>
          <w:trHeight w:val="45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新細明體" w:hAnsi="新細明體"/>
                <w:color w:val="000000"/>
                <w:szCs w:val="24"/>
              </w:rPr>
              <w:sym w:font="Wingdings 2" w:char="F0A3"/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65%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widowControl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1" w:rsidRPr="00B425C7" w:rsidRDefault="00841E91" w:rsidP="00910A7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425C7">
              <w:rPr>
                <w:rFonts w:ascii="Times New Roman" w:eastAsia="標楷體" w:hAnsi="Times New Roman"/>
                <w:color w:val="000000"/>
                <w:sz w:val="22"/>
                <w:szCs w:val="24"/>
              </w:rPr>
              <w:t>15%</w:t>
            </w:r>
          </w:p>
        </w:tc>
      </w:tr>
    </w:tbl>
    <w:p w:rsidR="00841E91" w:rsidRPr="00B425C7" w:rsidRDefault="00841E91" w:rsidP="00841E91">
      <w:pPr>
        <w:spacing w:line="280" w:lineRule="exact"/>
        <w:ind w:leftChars="350" w:left="1170" w:hangingChars="150" w:hanging="330"/>
        <w:rPr>
          <w:rFonts w:ascii="Times New Roman" w:eastAsia="標楷體" w:hAnsi="Times New Roman"/>
          <w:bCs/>
          <w:iCs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bCs/>
          <w:iCs/>
          <w:color w:val="000000"/>
          <w:sz w:val="22"/>
          <w:szCs w:val="24"/>
        </w:rPr>
        <w:t>2</w:t>
      </w:r>
      <w:r w:rsidRPr="00B425C7">
        <w:rPr>
          <w:rFonts w:ascii="Times New Roman" w:eastAsia="標楷體" w:hAnsi="Times New Roman"/>
          <w:bCs/>
          <w:iCs/>
          <w:color w:val="000000"/>
          <w:sz w:val="22"/>
          <w:szCs w:val="24"/>
        </w:rPr>
        <w:t>、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教師之專業成就以學位論文取代專門著作為代表著作送審者，其</w:t>
      </w:r>
      <w:r w:rsidRPr="00B425C7">
        <w:rPr>
          <w:rFonts w:ascii="Times New Roman" w:eastAsia="標楷體" w:hAnsi="Times New Roman"/>
          <w:bCs/>
          <w:iCs/>
          <w:color w:val="000000"/>
          <w:sz w:val="22"/>
          <w:szCs w:val="24"/>
        </w:rPr>
        <w:t>外審成績至少需經本校送</w:t>
      </w:r>
      <w:r w:rsidRPr="00115D77">
        <w:rPr>
          <w:rFonts w:ascii="Times New Roman" w:eastAsia="標楷體" w:hAnsi="Times New Roman" w:hint="eastAsia"/>
          <w:bCs/>
          <w:iCs/>
          <w:color w:val="000000"/>
          <w:sz w:val="22"/>
          <w:szCs w:val="24"/>
        </w:rPr>
        <w:t>六</w:t>
      </w:r>
      <w:r w:rsidRPr="00B425C7">
        <w:rPr>
          <w:rFonts w:ascii="Times New Roman" w:eastAsia="標楷體" w:hAnsi="Times New Roman"/>
          <w:bCs/>
          <w:iCs/>
          <w:color w:val="000000"/>
          <w:sz w:val="22"/>
          <w:szCs w:val="24"/>
        </w:rPr>
        <w:t>人審查，</w:t>
      </w:r>
      <w:r w:rsidRPr="0006070B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擬升等助理教授、副教授者，須有四人以上委員評審七十分以上為合格；擬升等教授者，須有四人以上委員評審七十五分以上</w:t>
      </w:r>
      <w:r w:rsidRPr="0006070B">
        <w:rPr>
          <w:rFonts w:ascii="Times New Roman" w:eastAsia="標楷體" w:hAnsi="Times New Roman"/>
          <w:b/>
          <w:bCs/>
          <w:iCs/>
          <w:color w:val="000000"/>
          <w:sz w:val="22"/>
          <w:szCs w:val="24"/>
          <w:u w:val="single"/>
        </w:rPr>
        <w:t>為</w:t>
      </w:r>
      <w:r w:rsidRPr="0006070B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合格</w:t>
      </w:r>
      <w:r w:rsidRPr="007C3D8E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；</w:t>
      </w:r>
      <w:r w:rsidRPr="0006070B">
        <w:rPr>
          <w:rFonts w:ascii="Times New Roman" w:eastAsia="標楷體" w:hAnsi="Times New Roman" w:hint="eastAsia"/>
          <w:b/>
          <w:bCs/>
          <w:iCs/>
          <w:color w:val="000000"/>
          <w:sz w:val="22"/>
          <w:szCs w:val="24"/>
          <w:u w:val="single"/>
        </w:rPr>
        <w:t>合格</w:t>
      </w:r>
      <w:r w:rsidRPr="00B425C7">
        <w:rPr>
          <w:rFonts w:ascii="Times New Roman" w:eastAsia="標楷體" w:hAnsi="Times New Roman"/>
          <w:bCs/>
          <w:iCs/>
          <w:color w:val="000000"/>
          <w:sz w:val="22"/>
          <w:szCs w:val="24"/>
        </w:rPr>
        <w:t>者，始得進行教評會審議升等程序。</w:t>
      </w:r>
    </w:p>
    <w:p w:rsidR="00841E91" w:rsidRPr="00B425C7" w:rsidRDefault="00841E91" w:rsidP="00841E91">
      <w:pPr>
        <w:spacing w:line="280" w:lineRule="exact"/>
        <w:ind w:leftChars="350" w:left="1170" w:hangingChars="150" w:hanging="330"/>
        <w:rPr>
          <w:rFonts w:ascii="Times New Roman" w:eastAsia="標楷體" w:hAnsi="Times New Roman"/>
          <w:color w:val="000000"/>
          <w:sz w:val="22"/>
          <w:szCs w:val="24"/>
        </w:rPr>
      </w:pPr>
      <w:r w:rsidRPr="00B425C7">
        <w:rPr>
          <w:rFonts w:ascii="Times New Roman" w:eastAsia="標楷體" w:hAnsi="Times New Roman"/>
          <w:color w:val="000000"/>
          <w:sz w:val="22"/>
          <w:szCs w:val="24"/>
        </w:rPr>
        <w:t>3</w:t>
      </w:r>
      <w:r w:rsidRPr="00B425C7">
        <w:rPr>
          <w:rFonts w:ascii="Times New Roman" w:eastAsia="標楷體" w:hAnsi="Times New Roman"/>
          <w:color w:val="000000"/>
          <w:sz w:val="22"/>
          <w:szCs w:val="24"/>
        </w:rPr>
        <w:t>、</w:t>
      </w:r>
      <w:r w:rsidRPr="00B425C7">
        <w:rPr>
          <w:rFonts w:ascii="Times New Roman" w:eastAsia="標楷體" w:hAnsi="Times New Roman"/>
          <w:color w:val="000000"/>
          <w:sz w:val="22"/>
        </w:rPr>
        <w:t>輔導與服務</w:t>
      </w:r>
      <w:r w:rsidRPr="00B425C7">
        <w:rPr>
          <w:rFonts w:ascii="Times New Roman" w:eastAsia="標楷體" w:hAnsi="Times New Roman"/>
          <w:bCs/>
          <w:iCs/>
          <w:color w:val="000000"/>
          <w:sz w:val="22"/>
        </w:rPr>
        <w:t>成績需達各分項門檻之規定，自</w:t>
      </w:r>
      <w:r w:rsidRPr="00B425C7">
        <w:rPr>
          <w:rFonts w:ascii="Times New Roman" w:eastAsia="標楷體" w:hAnsi="Times New Roman"/>
          <w:bCs/>
          <w:iCs/>
          <w:color w:val="000000"/>
          <w:sz w:val="22"/>
        </w:rPr>
        <w:t>101</w:t>
      </w:r>
      <w:r w:rsidRPr="00B425C7">
        <w:rPr>
          <w:rFonts w:ascii="Times New Roman" w:eastAsia="標楷體" w:hAnsi="Times New Roman"/>
          <w:bCs/>
          <w:iCs/>
          <w:color w:val="000000"/>
          <w:sz w:val="22"/>
        </w:rPr>
        <w:t>學年度實施</w:t>
      </w:r>
      <w:r w:rsidRPr="00327587">
        <w:rPr>
          <w:rFonts w:ascii="標楷體" w:eastAsia="標楷體" w:hAnsi="標楷體" w:hint="eastAsia"/>
          <w:b/>
          <w:bCs/>
          <w:iCs/>
          <w:color w:val="000000"/>
          <w:sz w:val="22"/>
          <w:u w:val="single"/>
        </w:rPr>
        <w:t>；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外審合格</w:t>
      </w:r>
      <w:r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規定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自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1</w:t>
      </w:r>
      <w:r>
        <w:rPr>
          <w:rFonts w:ascii="Times New Roman" w:eastAsia="標楷體" w:hAnsi="Times New Roman"/>
          <w:b/>
          <w:bCs/>
          <w:iCs/>
          <w:color w:val="000000"/>
          <w:sz w:val="22"/>
          <w:u w:val="single"/>
        </w:rPr>
        <w:t>1</w:t>
      </w:r>
      <w:r w:rsidRPr="00327587">
        <w:rPr>
          <w:rFonts w:ascii="Times New Roman" w:eastAsia="標楷體" w:hAnsi="Times New Roman"/>
          <w:b/>
          <w:bCs/>
          <w:iCs/>
          <w:color w:val="000000"/>
          <w:sz w:val="22"/>
          <w:u w:val="single"/>
        </w:rPr>
        <w:t>3</w:t>
      </w:r>
      <w:r w:rsidRPr="00327587">
        <w:rPr>
          <w:rFonts w:ascii="Times New Roman" w:eastAsia="標楷體" w:hAnsi="Times New Roman" w:hint="eastAsia"/>
          <w:b/>
          <w:bCs/>
          <w:iCs/>
          <w:color w:val="000000"/>
          <w:sz w:val="22"/>
          <w:u w:val="single"/>
        </w:rPr>
        <w:t>學年度實施</w:t>
      </w:r>
      <w:r w:rsidRPr="00327587">
        <w:rPr>
          <w:rFonts w:ascii="Times New Roman" w:eastAsia="標楷體" w:hAnsi="Times New Roman"/>
          <w:b/>
          <w:bCs/>
          <w:iCs/>
          <w:color w:val="000000"/>
          <w:sz w:val="22"/>
          <w:u w:val="single"/>
        </w:rPr>
        <w:t>。</w:t>
      </w:r>
    </w:p>
    <w:p w:rsidR="00841E91" w:rsidRDefault="00841E91" w:rsidP="00841E91">
      <w:pPr>
        <w:pStyle w:val="Default"/>
        <w:ind w:leftChars="350" w:left="840"/>
        <w:rPr>
          <w:rFonts w:ascii="Times New Roman" w:hAnsi="Times New Roman"/>
          <w:sz w:val="22"/>
        </w:rPr>
      </w:pPr>
      <w:r w:rsidRPr="00B425C7">
        <w:rPr>
          <w:rFonts w:ascii="Times New Roman" w:hAnsi="Times New Roman"/>
          <w:sz w:val="22"/>
        </w:rPr>
        <w:t>4</w:t>
      </w:r>
      <w:r w:rsidRPr="00B425C7">
        <w:rPr>
          <w:rFonts w:ascii="Times New Roman" w:hAnsi="Times New Roman"/>
          <w:sz w:val="22"/>
        </w:rPr>
        <w:t>、請附教學</w:t>
      </w:r>
      <w:r w:rsidRPr="00B425C7">
        <w:rPr>
          <w:rFonts w:ascii="Times New Roman" w:hAnsi="Times New Roman"/>
          <w:sz w:val="22"/>
        </w:rPr>
        <w:t>(C</w:t>
      </w:r>
      <w:r w:rsidRPr="00B425C7">
        <w:rPr>
          <w:rFonts w:ascii="Times New Roman" w:hAnsi="Times New Roman"/>
          <w:sz w:val="22"/>
        </w:rPr>
        <w:t>項</w:t>
      </w:r>
      <w:r w:rsidRPr="00B425C7">
        <w:rPr>
          <w:rFonts w:ascii="Times New Roman" w:hAnsi="Times New Roman"/>
          <w:sz w:val="22"/>
        </w:rPr>
        <w:t>)</w:t>
      </w:r>
      <w:r w:rsidRPr="00B425C7">
        <w:rPr>
          <w:rFonts w:ascii="Times New Roman" w:hAnsi="Times New Roman"/>
          <w:sz w:val="22"/>
        </w:rPr>
        <w:t>、輔導與服務</w:t>
      </w:r>
      <w:r w:rsidRPr="00B425C7">
        <w:rPr>
          <w:rFonts w:ascii="Times New Roman" w:hAnsi="Times New Roman"/>
          <w:sz w:val="22"/>
        </w:rPr>
        <w:t>(D</w:t>
      </w:r>
      <w:r w:rsidRPr="00B425C7">
        <w:rPr>
          <w:rFonts w:ascii="Times New Roman" w:hAnsi="Times New Roman"/>
          <w:sz w:val="22"/>
        </w:rPr>
        <w:t>項</w:t>
      </w:r>
      <w:r w:rsidRPr="00B425C7">
        <w:rPr>
          <w:rFonts w:ascii="Times New Roman" w:hAnsi="Times New Roman"/>
          <w:sz w:val="22"/>
        </w:rPr>
        <w:t>)</w:t>
      </w:r>
      <w:r w:rsidRPr="00B425C7">
        <w:rPr>
          <w:rFonts w:ascii="Times New Roman" w:hAnsi="Times New Roman"/>
          <w:sz w:val="22"/>
        </w:rPr>
        <w:t>之評分申請表及項目認證表。</w:t>
      </w:r>
    </w:p>
    <w:p w:rsidR="00B57025" w:rsidRPr="00841E91" w:rsidRDefault="00B57025"/>
    <w:sectPr w:rsidR="00B57025" w:rsidRPr="00841E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EC4" w:rsidRDefault="00296EC4" w:rsidP="00BB3B2F">
      <w:r>
        <w:separator/>
      </w:r>
    </w:p>
  </w:endnote>
  <w:endnote w:type="continuationSeparator" w:id="0">
    <w:p w:rsidR="00296EC4" w:rsidRDefault="00296EC4" w:rsidP="00BB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53225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170FF" w:rsidRPr="004170FF" w:rsidRDefault="00BE08A1">
        <w:pPr>
          <w:pStyle w:val="a5"/>
          <w:jc w:val="center"/>
          <w:rPr>
            <w:rFonts w:ascii="Times New Roman" w:hAnsi="Times New Roman"/>
          </w:rPr>
        </w:pPr>
        <w:r w:rsidRPr="00BE08A1">
          <w:rPr>
            <w:rFonts w:ascii="標楷體" w:eastAsia="標楷體" w:hAnsi="標楷體" w:hint="eastAsia"/>
          </w:rPr>
          <w:t>教</w:t>
        </w:r>
        <w:r w:rsidRPr="00BE08A1">
          <w:rPr>
            <w:rFonts w:ascii="Times New Roman" w:eastAsia="標楷體" w:hAnsi="Times New Roman"/>
          </w:rPr>
          <w:t>8</w:t>
        </w:r>
        <w:r w:rsidRPr="00BE08A1">
          <w:rPr>
            <w:rFonts w:ascii="Times New Roman" w:hAnsi="Times New Roman"/>
          </w:rPr>
          <w:t>-</w:t>
        </w:r>
        <w:r w:rsidR="004170FF" w:rsidRPr="00BE08A1">
          <w:rPr>
            <w:rFonts w:ascii="Times New Roman" w:hAnsi="Times New Roman"/>
          </w:rPr>
          <w:fldChar w:fldCharType="begin"/>
        </w:r>
        <w:r w:rsidR="004170FF" w:rsidRPr="00BE08A1">
          <w:rPr>
            <w:rFonts w:ascii="Times New Roman" w:hAnsi="Times New Roman"/>
          </w:rPr>
          <w:instrText>PAGE   \* MERGEFORMAT</w:instrText>
        </w:r>
        <w:r w:rsidR="004170FF" w:rsidRPr="00BE08A1">
          <w:rPr>
            <w:rFonts w:ascii="Times New Roman" w:hAnsi="Times New Roman"/>
          </w:rPr>
          <w:fldChar w:fldCharType="separate"/>
        </w:r>
        <w:r w:rsidR="004170FF" w:rsidRPr="00BE08A1">
          <w:rPr>
            <w:rFonts w:ascii="Times New Roman" w:hAnsi="Times New Roman"/>
            <w:lang w:val="zh-TW"/>
          </w:rPr>
          <w:t>2</w:t>
        </w:r>
        <w:r w:rsidR="004170FF" w:rsidRPr="00BE08A1">
          <w:rPr>
            <w:rFonts w:ascii="Times New Roman" w:hAnsi="Times New Roman"/>
          </w:rPr>
          <w:fldChar w:fldCharType="end"/>
        </w:r>
      </w:p>
    </w:sdtContent>
  </w:sdt>
  <w:p w:rsidR="004170FF" w:rsidRDefault="004170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EC4" w:rsidRDefault="00296EC4" w:rsidP="00BB3B2F">
      <w:r>
        <w:separator/>
      </w:r>
    </w:p>
  </w:footnote>
  <w:footnote w:type="continuationSeparator" w:id="0">
    <w:p w:rsidR="00296EC4" w:rsidRDefault="00296EC4" w:rsidP="00BB3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91"/>
    <w:rsid w:val="0023446C"/>
    <w:rsid w:val="00296EC4"/>
    <w:rsid w:val="004170FF"/>
    <w:rsid w:val="00534B69"/>
    <w:rsid w:val="00841E91"/>
    <w:rsid w:val="009A2187"/>
    <w:rsid w:val="00B57025"/>
    <w:rsid w:val="00BB3B2F"/>
    <w:rsid w:val="00BE08A1"/>
    <w:rsid w:val="00C0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92D2"/>
  <w15:chartTrackingRefBased/>
  <w15:docId w15:val="{59CBF7CD-0D8D-4FE2-A102-7EA23F73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E9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1E9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B2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B2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</cp:lastModifiedBy>
  <cp:revision>6</cp:revision>
  <dcterms:created xsi:type="dcterms:W3CDTF">2026-03-23T01:16:00Z</dcterms:created>
  <dcterms:modified xsi:type="dcterms:W3CDTF">2026-03-23T01:26:00Z</dcterms:modified>
</cp:coreProperties>
</file>